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茶叶科学研究所</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w:t>
      </w:r>
      <w:r>
        <w:rPr>
          <w:rFonts w:hint="eastAsia" w:ascii="仿宋_GB2312" w:hAnsi="微软雅黑" w:eastAsia="仿宋_GB2312" w:cs="仿宋_GB2312"/>
          <w:b w:val="0"/>
          <w:bCs w:val="0"/>
          <w:i w:val="0"/>
          <w:caps w:val="0"/>
          <w:color w:val="000000"/>
          <w:spacing w:val="0"/>
          <w:kern w:val="0"/>
          <w:sz w:val="32"/>
          <w:szCs w:val="32"/>
          <w:shd w:val="clear" w:fill="FFFFFF"/>
          <w:lang w:val="en-US" w:eastAsia="zh-CN" w:bidi="ar"/>
        </w:rPr>
        <w:t>3</w:t>
      </w:r>
      <w:r>
        <w:rPr>
          <w:rFonts w:hint="eastAsia" w:ascii="仿宋_GB2312" w:hAnsi="微软雅黑" w:eastAsia="仿宋_GB2312" w:cs="仿宋_GB2312"/>
          <w:i w:val="0"/>
          <w:caps w:val="0"/>
          <w:color w:val="000000"/>
          <w:spacing w:val="0"/>
          <w:kern w:val="0"/>
          <w:sz w:val="32"/>
          <w:szCs w:val="32"/>
          <w:shd w:val="clear" w:fill="FFFFFF"/>
          <w:lang w:val="en-US" w:eastAsia="zh-CN" w:bidi="ar"/>
        </w:rPr>
        <w:t>、财政拨款支出说明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6、“三公”经费预算情况说明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7、整体绩效目标设置情况说明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8、项目绩效目标设置情况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9、项目情况说明：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eastAsia="zh-CN"/>
        </w:rPr>
        <w:t>单位</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茶叶科技研究，科普培训，茶叶技术推广。</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14</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部门预算情况说明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收入预算总额为239.32万元，与上年预算相比</w:t>
      </w:r>
      <w:r>
        <w:rPr>
          <w:rFonts w:hint="eastAsia" w:ascii="仿宋_GB2312" w:hAnsi="宋体" w:eastAsia="仿宋_GB2312" w:cs="仿宋_GB2312"/>
          <w:sz w:val="32"/>
          <w:szCs w:val="32"/>
          <w:lang w:eastAsia="zh-CN"/>
        </w:rPr>
        <w:t>减</w:t>
      </w:r>
      <w:r>
        <w:rPr>
          <w:rFonts w:hint="eastAsia" w:ascii="仿宋_GB2312" w:hAnsi="宋体" w:eastAsia="仿宋_GB2312" w:cs="仿宋_GB2312"/>
          <w:sz w:val="32"/>
          <w:szCs w:val="32"/>
          <w:lang w:val="en-US" w:eastAsia="zh-CN"/>
        </w:rPr>
        <w:t>7.65万元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压缩一般公共服务支出</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160.61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67.11</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；上年结余结转收入78.71万元，占收入预算总额的</w:t>
      </w:r>
      <w:r>
        <w:rPr>
          <w:rFonts w:hint="eastAsia" w:ascii="仿宋_GB2312" w:hAnsi="宋体" w:eastAsia="仿宋_GB2312" w:cs="仿宋_GB2312"/>
          <w:sz w:val="32"/>
          <w:szCs w:val="32"/>
          <w:lang w:val="en-US" w:eastAsia="zh-CN"/>
        </w:rPr>
        <w:t>32.89</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支出预算总额为239.3</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w:t>
      </w:r>
      <w:r>
        <w:rPr>
          <w:rFonts w:hint="eastAsia" w:ascii="仿宋_GB2312" w:hAnsi="宋体" w:eastAsia="仿宋_GB2312" w:cs="仿宋_GB2312"/>
          <w:sz w:val="32"/>
          <w:szCs w:val="32"/>
          <w:lang w:val="en-US" w:eastAsia="zh-CN"/>
        </w:rPr>
        <w:t>7.65万元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压缩一般公共服务支出</w:t>
      </w:r>
      <w:r>
        <w:rPr>
          <w:rFonts w:hint="eastAsia" w:ascii="仿宋_GB2312" w:hAnsi="宋体" w:eastAsia="仿宋_GB2312" w:cs="仿宋_GB2312"/>
          <w:sz w:val="32"/>
          <w:szCs w:val="32"/>
        </w:rPr>
        <w:t>。其中：按支出项目类别划分：基本支出231.72万元，占支出预算总额的</w:t>
      </w:r>
      <w:r>
        <w:rPr>
          <w:rFonts w:hint="eastAsia" w:ascii="仿宋_GB2312" w:hAnsi="宋体" w:eastAsia="仿宋_GB2312" w:cs="仿宋_GB2312"/>
          <w:sz w:val="32"/>
          <w:szCs w:val="32"/>
          <w:lang w:val="en-US" w:eastAsia="zh-CN"/>
        </w:rPr>
        <w:t>96.83</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，包括工资福利支出139.99万元、商品和服务支出28.37万元、对个人和家庭的补助60.36万元、其他资本性支出</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7.6</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3.17</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7.6</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按支出功能项目科目划分：一般公共服务239.3</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；公共安全支出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200.35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83.72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28.37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11.86</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其他资本性支出</w:t>
      </w:r>
      <w:r>
        <w:rPr>
          <w:rFonts w:hint="eastAsia" w:ascii="仿宋_GB2312" w:hAnsi="宋体" w:eastAsia="仿宋_GB2312" w:cs="仿宋_GB2312"/>
          <w:sz w:val="32"/>
          <w:szCs w:val="32"/>
          <w:lang w:val="en-US" w:eastAsia="zh-CN"/>
        </w:rPr>
        <w:t>3万元，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4.42</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160.61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67.11</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2.52万元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增加人员工资福利支出</w:t>
      </w:r>
      <w:r>
        <w:rPr>
          <w:rFonts w:hint="eastAsia" w:ascii="仿宋_GB2312" w:hAnsi="宋体" w:eastAsia="仿宋_GB2312" w:cs="仿宋_GB2312"/>
          <w:sz w:val="32"/>
          <w:szCs w:val="32"/>
        </w:rPr>
        <w:t>。具体支出情况是：农林水事务</w:t>
      </w:r>
      <w:r>
        <w:rPr>
          <w:rFonts w:hint="eastAsia" w:ascii="仿宋_GB2312" w:hAnsi="宋体" w:eastAsia="仿宋_GB2312" w:cs="仿宋_GB2312"/>
          <w:sz w:val="32"/>
          <w:szCs w:val="32"/>
          <w:lang w:val="en-US" w:eastAsia="zh-CN"/>
        </w:rPr>
        <w:t>160.61</w:t>
      </w:r>
      <w:r>
        <w:rPr>
          <w:rFonts w:hint="eastAsia" w:ascii="仿宋_GB2312" w:hAnsi="宋体" w:eastAsia="仿宋_GB2312" w:cs="仿宋_GB2312"/>
          <w:sz w:val="32"/>
          <w:szCs w:val="32"/>
        </w:rPr>
        <w:t>万元，占财政拨款支出的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；教育</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万元，占财政拨款支出</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w:t>
      </w:r>
      <w:r>
        <w:rPr>
          <w:rFonts w:hint="eastAsia" w:ascii="仿宋_GB2312" w:hAnsi="宋体" w:eastAsia="仿宋_GB2312" w:cs="仿宋_GB2312"/>
          <w:sz w:val="32"/>
          <w:szCs w:val="32"/>
        </w:rPr>
        <w:t>集中采购预算</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3万元</w:t>
      </w:r>
      <w:r>
        <w:rPr>
          <w:rFonts w:hint="eastAsia" w:ascii="仿宋_GB2312" w:hAnsi="宋体" w:eastAsia="仿宋_GB2312" w:cs="仿宋_GB2312"/>
          <w:sz w:val="32"/>
          <w:szCs w:val="32"/>
        </w:rPr>
        <w:t>，与上年预算对比减</w:t>
      </w:r>
      <w:r>
        <w:rPr>
          <w:rFonts w:hint="eastAsia" w:ascii="仿宋_GB2312" w:hAnsi="宋体" w:eastAsia="仿宋_GB2312" w:cs="仿宋_GB2312"/>
          <w:sz w:val="32"/>
          <w:szCs w:val="32"/>
          <w:lang w:val="en-US" w:eastAsia="zh-CN"/>
        </w:rPr>
        <w:t>14.6万元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减少公务用车购置预算</w:t>
      </w:r>
      <w:r>
        <w:rPr>
          <w:rFonts w:hint="eastAsia" w:ascii="仿宋_GB2312" w:hAnsi="宋体" w:eastAsia="仿宋_GB2312" w:cs="仿宋_GB2312"/>
          <w:sz w:val="32"/>
          <w:szCs w:val="32"/>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left="420" w:leftChars="200" w:firstLine="640" w:firstLineChars="200"/>
        <w:rPr>
          <w:rFonts w:ascii="仿宋_GB2312" w:eastAsia="仿宋_GB2312" w:cs="Times New Roman"/>
          <w:sz w:val="32"/>
          <w:szCs w:val="32"/>
        </w:rPr>
      </w:pPr>
      <w:r>
        <w:rPr>
          <w:rFonts w:hint="eastAsia" w:ascii="仿宋_GB2312" w:hAnsi="宋体" w:eastAsia="仿宋_GB2312" w:cs="仿宋_GB2312"/>
          <w:sz w:val="32"/>
          <w:szCs w:val="32"/>
          <w:lang w:eastAsia="zh-CN"/>
        </w:rPr>
        <w:t>本单位</w:t>
      </w:r>
      <w:r>
        <w:rPr>
          <w:rFonts w:hint="eastAsia" w:ascii="仿宋_GB2312" w:hAnsi="宋体" w:eastAsia="仿宋_GB2312" w:cs="仿宋_GB2312"/>
          <w:sz w:val="32"/>
          <w:szCs w:val="32"/>
        </w:rPr>
        <w:t>无政府基金收支预算</w:t>
      </w:r>
      <w:r>
        <w:rPr>
          <w:rFonts w:hint="eastAsia" w:ascii="仿宋_GB2312" w:hAnsi="宋体" w:eastAsia="仿宋_GB2312" w:cs="仿宋_GB2312"/>
          <w:sz w:val="32"/>
          <w:szCs w:val="32"/>
          <w:lang w:eastAsia="zh-CN"/>
        </w:rPr>
        <w:t>情况</w:t>
      </w:r>
      <w:r>
        <w:rPr>
          <w:rFonts w:hint="eastAsia" w:ascii="仿宋_GB2312" w:hAnsi="宋体" w:eastAsia="仿宋_GB2312" w:cs="仿宋_GB2312"/>
          <w:sz w:val="32"/>
          <w:szCs w:val="32"/>
        </w:rPr>
        <w:t>。</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5.59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4.59</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仿宋_GB2312"/>
          <w:b/>
          <w:bCs/>
          <w:sz w:val="32"/>
          <w:szCs w:val="32"/>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ascii="仿宋_GB2312" w:eastAsia="仿宋_GB2312"/>
          <w:color w:val="000000"/>
          <w:sz w:val="32"/>
          <w:szCs w:val="30"/>
          <w:highlight w:val="none"/>
        </w:rPr>
        <w:t xml:space="preserve"> </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个（部门预算中</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万元以上的，且进行了绩效评审的项目</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 xml:space="preserve"> 个，涉及资金</w:t>
      </w:r>
      <w:r>
        <w:rPr>
          <w:rFonts w:hint="eastAsia" w:ascii="仿宋_GB2312" w:eastAsia="仿宋_GB2312"/>
          <w:color w:val="000000"/>
          <w:sz w:val="32"/>
          <w:szCs w:val="30"/>
          <w:lang w:val="en-US" w:eastAsia="zh-CN"/>
        </w:rPr>
        <w:t>7.6</w:t>
      </w:r>
      <w:bookmarkStart w:id="0" w:name="_GoBack"/>
      <w:bookmarkEnd w:id="0"/>
      <w:r>
        <w:rPr>
          <w:rFonts w:hint="eastAsia" w:ascii="仿宋_GB2312" w:eastAsia="仿宋_GB2312"/>
          <w:color w:val="000000"/>
          <w:sz w:val="32"/>
          <w:szCs w:val="30"/>
        </w:rPr>
        <w:t xml:space="preserve">万元），涉及资金 </w:t>
      </w:r>
      <w:r>
        <w:rPr>
          <w:rFonts w:hint="eastAsia" w:ascii="仿宋_GB2312" w:eastAsia="仿宋_GB2312"/>
          <w:color w:val="000000"/>
          <w:sz w:val="32"/>
          <w:szCs w:val="30"/>
          <w:lang w:val="en-US" w:eastAsia="zh-CN"/>
        </w:rPr>
        <w:t>7.6</w:t>
      </w:r>
      <w:r>
        <w:rPr>
          <w:rFonts w:hint="eastAsia" w:ascii="仿宋_GB2312" w:eastAsia="仿宋_GB2312"/>
          <w:color w:val="000000"/>
          <w:sz w:val="32"/>
          <w:szCs w:val="30"/>
        </w:rPr>
        <w:t>万元。</w:t>
      </w:r>
    </w:p>
    <w:p>
      <w:pPr>
        <w:widowControl/>
        <w:spacing w:line="600" w:lineRule="exact"/>
        <w:ind w:firstLine="643" w:firstLineChars="200"/>
        <w:jc w:val="left"/>
        <w:rPr>
          <w:rFonts w:hint="eastAsia" w:ascii="仿宋_GB2312" w:eastAsia="仿宋_GB2312"/>
          <w:b w:val="0"/>
          <w:bCs/>
          <w:color w:val="000000"/>
          <w:sz w:val="32"/>
          <w:szCs w:val="30"/>
          <w:lang w:eastAsia="zh-CN"/>
        </w:rPr>
      </w:pPr>
      <w:r>
        <w:rPr>
          <w:rFonts w:hint="eastAsia" w:ascii="仿宋_GB2312" w:eastAsia="仿宋_GB2312"/>
          <w:b/>
          <w:color w:val="000000"/>
          <w:sz w:val="32"/>
          <w:szCs w:val="30"/>
        </w:rPr>
        <w:t>（九）项目情况说明</w:t>
      </w:r>
      <w:r>
        <w:rPr>
          <w:rFonts w:hint="eastAsia" w:ascii="仿宋_GB2312" w:eastAsia="仿宋_GB2312"/>
          <w:b/>
          <w:color w:val="000000"/>
          <w:sz w:val="32"/>
          <w:szCs w:val="30"/>
          <w:lang w:eastAsia="zh-CN"/>
        </w:rPr>
        <w:t>：</w:t>
      </w:r>
    </w:p>
    <w:p>
      <w:pPr>
        <w:widowControl/>
        <w:numPr>
          <w:ilvl w:val="0"/>
          <w:numId w:val="0"/>
        </w:numPr>
        <w:spacing w:line="600" w:lineRule="exact"/>
        <w:ind w:left="640" w:leftChars="0" w:firstLine="320" w:firstLineChars="100"/>
        <w:jc w:val="left"/>
        <w:rPr>
          <w:rFonts w:hint="eastAsia" w:ascii="仿宋_GB2312" w:eastAsia="仿宋_GB2312"/>
          <w:color w:val="000000"/>
          <w:sz w:val="32"/>
          <w:szCs w:val="30"/>
          <w:lang w:eastAsia="zh-CN"/>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二级项目</w:t>
      </w:r>
      <w:r>
        <w:rPr>
          <w:rFonts w:hint="eastAsia" w:ascii="仿宋_GB2312" w:eastAsia="仿宋_GB2312"/>
          <w:color w:val="000000"/>
          <w:sz w:val="32"/>
          <w:szCs w:val="30"/>
          <w:lang w:eastAsia="zh-CN"/>
        </w:rPr>
        <w:t>：</w:t>
      </w:r>
      <w:r>
        <w:rPr>
          <w:rFonts w:hint="eastAsia" w:ascii="仿宋_GB2312" w:eastAsia="仿宋_GB2312"/>
          <w:color w:val="000000"/>
          <w:sz w:val="32"/>
          <w:szCs w:val="30"/>
          <w:highlight w:val="none"/>
          <w:lang w:val="en-US" w:eastAsia="zh-CN"/>
        </w:rPr>
        <w:t>省历年来固定补助</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 xml:space="preserve">  </w:t>
      </w:r>
    </w:p>
    <w:tbl>
      <w:tblPr>
        <w:tblStyle w:val="6"/>
        <w:tblW w:w="8640" w:type="dxa"/>
        <w:tblInd w:w="93" w:type="dxa"/>
        <w:shd w:val="clear" w:color="auto" w:fill="auto"/>
        <w:tblLayout w:type="autofit"/>
        <w:tblCellMar>
          <w:top w:w="0" w:type="dxa"/>
          <w:left w:w="108" w:type="dxa"/>
          <w:bottom w:w="0" w:type="dxa"/>
          <w:right w:w="108" w:type="dxa"/>
        </w:tblCellMar>
      </w:tblPr>
      <w:tblGrid>
        <w:gridCol w:w="1096"/>
        <w:gridCol w:w="1096"/>
        <w:gridCol w:w="960"/>
        <w:gridCol w:w="960"/>
        <w:gridCol w:w="960"/>
        <w:gridCol w:w="960"/>
        <w:gridCol w:w="960"/>
        <w:gridCol w:w="960"/>
        <w:gridCol w:w="960"/>
      </w:tblGrid>
      <w:tr>
        <w:tblPrEx>
          <w:shd w:val="clear" w:color="auto" w:fill="auto"/>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部门公开表10</w:t>
            </w: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6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景德镇市</w:t>
            </w:r>
            <w:r>
              <w:rPr>
                <w:rFonts w:hint="eastAsia" w:ascii="宋体" w:hAnsi="宋体" w:cs="宋体"/>
                <w:b/>
                <w:bCs/>
                <w:i w:val="0"/>
                <w:iCs w:val="0"/>
                <w:color w:val="000000"/>
                <w:kern w:val="0"/>
                <w:sz w:val="32"/>
                <w:szCs w:val="32"/>
                <w:u w:val="none"/>
                <w:lang w:val="en-US" w:eastAsia="zh-CN" w:bidi="ar"/>
              </w:rPr>
              <w:t>茶叶科学研究所二</w:t>
            </w:r>
            <w:r>
              <w:rPr>
                <w:rFonts w:hint="eastAsia" w:ascii="宋体" w:hAnsi="宋体" w:eastAsia="宋体" w:cs="宋体"/>
                <w:b/>
                <w:bCs/>
                <w:i w:val="0"/>
                <w:iCs w:val="0"/>
                <w:color w:val="000000"/>
                <w:kern w:val="0"/>
                <w:sz w:val="32"/>
                <w:szCs w:val="32"/>
                <w:u w:val="none"/>
                <w:lang w:val="en-US" w:eastAsia="zh-CN" w:bidi="ar"/>
              </w:rPr>
              <w:t>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vAlign w:val="top"/>
          </w:tcPr>
          <w:p>
            <w:pPr>
              <w:jc w:val="both"/>
              <w:rPr>
                <w:rFonts w:hint="eastAsia" w:ascii="Calibri" w:hAnsi="Calibri" w:cs="Calibri"/>
                <w:i w:val="0"/>
                <w:iCs w:val="0"/>
                <w:color w:val="000000"/>
                <w:sz w:val="21"/>
                <w:szCs w:val="21"/>
                <w:u w:val="none"/>
              </w:rPr>
            </w:pPr>
          </w:p>
        </w:tc>
        <w:tc>
          <w:tcPr>
            <w:tcW w:w="960" w:type="dxa"/>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single" w:color="000000" w:sz="4" w:space="0"/>
              <w:right w:val="nil"/>
            </w:tcBorders>
            <w:shd w:val="clear" w:color="auto" w:fill="auto"/>
            <w:vAlign w:val="top"/>
          </w:tcPr>
          <w:p>
            <w:pPr>
              <w:jc w:val="both"/>
              <w:rPr>
                <w:rFonts w:hint="default" w:ascii="Calibri" w:hAnsi="Calibri" w:cs="Calibri"/>
                <w:i w:val="0"/>
                <w:iCs w:val="0"/>
                <w:color w:val="000000"/>
                <w:sz w:val="21"/>
                <w:szCs w:val="21"/>
                <w:u w:val="none"/>
              </w:rPr>
            </w:pPr>
          </w:p>
        </w:tc>
        <w:tc>
          <w:tcPr>
            <w:tcW w:w="2880" w:type="dxa"/>
            <w:gridSpan w:val="3"/>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r>
      <w:tr>
        <w:tblPrEx>
          <w:tblCellMar>
            <w:top w:w="0" w:type="dxa"/>
            <w:left w:w="108" w:type="dxa"/>
            <w:bottom w:w="0" w:type="dxa"/>
            <w:right w:w="108" w:type="dxa"/>
          </w:tblCellMar>
        </w:tblPrEx>
        <w:trPr>
          <w:trHeight w:val="660" w:hRule="atLeast"/>
        </w:trPr>
        <w:tc>
          <w:tcPr>
            <w:tcW w:w="21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省历年来固定补助</w:t>
            </w:r>
          </w:p>
        </w:tc>
      </w:tr>
      <w:tr>
        <w:tblPrEx>
          <w:tblCellMar>
            <w:top w:w="0" w:type="dxa"/>
            <w:left w:w="108" w:type="dxa"/>
            <w:bottom w:w="0" w:type="dxa"/>
            <w:right w:w="108" w:type="dxa"/>
          </w:tblCellMar>
        </w:tblPrEx>
        <w:trPr>
          <w:trHeight w:val="66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主管部门及代码</w:t>
            </w:r>
          </w:p>
        </w:tc>
        <w:tc>
          <w:tcPr>
            <w:tcW w:w="288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景德镇市农业农村局301001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景德镇市茶叶科学研究所</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年度资金总额      </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其中:财政拨款</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年度绩效目标</w:t>
            </w:r>
          </w:p>
        </w:tc>
      </w:tr>
      <w:tr>
        <w:tblPrEx>
          <w:tblCellMar>
            <w:top w:w="0" w:type="dxa"/>
            <w:left w:w="108" w:type="dxa"/>
            <w:bottom w:w="0" w:type="dxa"/>
            <w:right w:w="108" w:type="dxa"/>
          </w:tblCellMar>
        </w:tblPrEx>
        <w:trPr>
          <w:trHeight w:val="102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一、全面免除农工承担的“乡镇五项统筹”费，明显减轻农工负担。二、确保生产高质量发展、乡村环境美丽建设大幅改善、提高社会和谐满意度。三、乡村全面振兴。</w:t>
            </w:r>
          </w:p>
        </w:tc>
      </w:tr>
      <w:tr>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600" w:hRule="atLeast"/>
        </w:trPr>
        <w:tc>
          <w:tcPr>
            <w:tcW w:w="109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09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转移支付村组</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补助完成率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生产质量发展提升率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社会主要矛盾解决率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环境美化率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109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bl>
    <w:p>
      <w:pPr>
        <w:widowControl/>
        <w:numPr>
          <w:ilvl w:val="0"/>
          <w:numId w:val="0"/>
        </w:numPr>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二级项目</w:t>
      </w:r>
      <w:r>
        <w:rPr>
          <w:rFonts w:hint="eastAsia" w:ascii="仿宋_GB2312" w:eastAsia="仿宋_GB2312"/>
          <w:color w:val="000000"/>
          <w:sz w:val="32"/>
          <w:szCs w:val="30"/>
          <w:lang w:eastAsia="zh-CN"/>
        </w:rPr>
        <w:t>：</w:t>
      </w:r>
      <w:r>
        <w:rPr>
          <w:rFonts w:hint="eastAsia" w:ascii="仿宋_GB2312" w:eastAsia="仿宋_GB2312"/>
          <w:color w:val="000000"/>
          <w:sz w:val="32"/>
          <w:szCs w:val="30"/>
          <w:highlight w:val="none"/>
          <w:lang w:val="en-US" w:eastAsia="zh-CN"/>
        </w:rPr>
        <w:t>现代农业专项经费</w:t>
      </w:r>
    </w:p>
    <w:p>
      <w:pPr>
        <w:rPr>
          <w:rFonts w:hint="eastAsia" w:ascii="仿宋_GB2312" w:eastAsia="仿宋_GB2312"/>
          <w:color w:val="000000"/>
          <w:sz w:val="32"/>
          <w:szCs w:val="30"/>
        </w:rPr>
      </w:pPr>
      <w:r>
        <w:rPr>
          <w:rFonts w:hint="eastAsia" w:ascii="仿宋_GB2312" w:eastAsia="仿宋_GB2312"/>
          <w:color w:val="000000"/>
          <w:sz w:val="32"/>
          <w:szCs w:val="30"/>
        </w:rPr>
        <w:t xml:space="preserve">  </w:t>
      </w:r>
    </w:p>
    <w:tbl>
      <w:tblPr>
        <w:tblStyle w:val="6"/>
        <w:tblW w:w="8640" w:type="dxa"/>
        <w:tblInd w:w="93" w:type="dxa"/>
        <w:shd w:val="clear" w:color="auto" w:fill="auto"/>
        <w:tblLayout w:type="autofit"/>
        <w:tblCellMar>
          <w:top w:w="0" w:type="dxa"/>
          <w:left w:w="108" w:type="dxa"/>
          <w:bottom w:w="0" w:type="dxa"/>
          <w:right w:w="108" w:type="dxa"/>
        </w:tblCellMar>
      </w:tblPr>
      <w:tblGrid>
        <w:gridCol w:w="1096"/>
        <w:gridCol w:w="1096"/>
        <w:gridCol w:w="960"/>
        <w:gridCol w:w="960"/>
        <w:gridCol w:w="960"/>
        <w:gridCol w:w="960"/>
        <w:gridCol w:w="960"/>
        <w:gridCol w:w="960"/>
        <w:gridCol w:w="960"/>
      </w:tblGrid>
      <w:tr>
        <w:tblPrEx>
          <w:shd w:val="clear" w:color="auto" w:fill="auto"/>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部门公开表10</w:t>
            </w: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6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6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景德镇市</w:t>
            </w:r>
            <w:r>
              <w:rPr>
                <w:rFonts w:hint="eastAsia" w:ascii="宋体" w:hAnsi="宋体" w:cs="宋体"/>
                <w:b/>
                <w:bCs/>
                <w:i w:val="0"/>
                <w:iCs w:val="0"/>
                <w:color w:val="000000"/>
                <w:kern w:val="0"/>
                <w:sz w:val="32"/>
                <w:szCs w:val="32"/>
                <w:u w:val="none"/>
                <w:lang w:val="en-US" w:eastAsia="zh-CN" w:bidi="ar"/>
              </w:rPr>
              <w:t>茶叶科学研究所二</w:t>
            </w:r>
            <w:r>
              <w:rPr>
                <w:rFonts w:hint="eastAsia" w:ascii="宋体" w:hAnsi="宋体" w:eastAsia="宋体" w:cs="宋体"/>
                <w:b/>
                <w:bCs/>
                <w:i w:val="0"/>
                <w:iCs w:val="0"/>
                <w:color w:val="000000"/>
                <w:kern w:val="0"/>
                <w:sz w:val="32"/>
                <w:szCs w:val="32"/>
                <w:u w:val="none"/>
                <w:lang w:val="en-US" w:eastAsia="zh-CN" w:bidi="ar"/>
              </w:rPr>
              <w:t>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vAlign w:val="top"/>
          </w:tcPr>
          <w:p>
            <w:pPr>
              <w:jc w:val="both"/>
              <w:rPr>
                <w:rFonts w:hint="eastAsia" w:ascii="Calibri" w:hAnsi="Calibri" w:cs="Calibri"/>
                <w:i w:val="0"/>
                <w:iCs w:val="0"/>
                <w:color w:val="000000"/>
                <w:sz w:val="21"/>
                <w:szCs w:val="21"/>
                <w:u w:val="none"/>
              </w:rPr>
            </w:pPr>
          </w:p>
        </w:tc>
        <w:tc>
          <w:tcPr>
            <w:tcW w:w="960" w:type="dxa"/>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single" w:color="000000" w:sz="4" w:space="0"/>
              <w:right w:val="nil"/>
            </w:tcBorders>
            <w:shd w:val="clear" w:color="auto" w:fill="auto"/>
            <w:vAlign w:val="top"/>
          </w:tcPr>
          <w:p>
            <w:pPr>
              <w:jc w:val="both"/>
              <w:rPr>
                <w:rFonts w:hint="default" w:ascii="Calibri" w:hAnsi="Calibri" w:cs="Calibri"/>
                <w:i w:val="0"/>
                <w:iCs w:val="0"/>
                <w:color w:val="000000"/>
                <w:sz w:val="21"/>
                <w:szCs w:val="21"/>
                <w:u w:val="none"/>
              </w:rPr>
            </w:pPr>
          </w:p>
        </w:tc>
        <w:tc>
          <w:tcPr>
            <w:tcW w:w="2880" w:type="dxa"/>
            <w:gridSpan w:val="3"/>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c>
          <w:tcPr>
            <w:tcW w:w="1920" w:type="dxa"/>
            <w:gridSpan w:val="2"/>
            <w:tcBorders>
              <w:top w:val="nil"/>
              <w:left w:val="nil"/>
              <w:bottom w:val="nil"/>
              <w:right w:val="nil"/>
            </w:tcBorders>
            <w:shd w:val="clear" w:color="auto" w:fill="auto"/>
            <w:vAlign w:val="top"/>
          </w:tcPr>
          <w:p>
            <w:pPr>
              <w:jc w:val="both"/>
              <w:rPr>
                <w:rFonts w:hint="default" w:ascii="Calibri" w:hAnsi="Calibri" w:cs="Calibri"/>
                <w:i w:val="0"/>
                <w:iCs w:val="0"/>
                <w:color w:val="000000"/>
                <w:sz w:val="21"/>
                <w:szCs w:val="21"/>
                <w:u w:val="none"/>
              </w:rPr>
            </w:pPr>
          </w:p>
        </w:tc>
      </w:tr>
      <w:tr>
        <w:tblPrEx>
          <w:tblCellMar>
            <w:top w:w="0" w:type="dxa"/>
            <w:left w:w="108" w:type="dxa"/>
            <w:bottom w:w="0" w:type="dxa"/>
            <w:right w:w="108" w:type="dxa"/>
          </w:tblCellMar>
        </w:tblPrEx>
        <w:trPr>
          <w:trHeight w:val="66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67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现代农业专项经费</w:t>
            </w:r>
          </w:p>
        </w:tc>
      </w:tr>
      <w:tr>
        <w:tblPrEx>
          <w:tblCellMar>
            <w:top w:w="0" w:type="dxa"/>
            <w:left w:w="108" w:type="dxa"/>
            <w:bottom w:w="0" w:type="dxa"/>
            <w:right w:w="108" w:type="dxa"/>
          </w:tblCellMar>
        </w:tblPrEx>
        <w:trPr>
          <w:trHeight w:val="66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主管部门及代码</w:t>
            </w:r>
          </w:p>
        </w:tc>
        <w:tc>
          <w:tcPr>
            <w:tcW w:w="288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景德镇市农业农村局301001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2880"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景德镇市茶叶科学研究所</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项目资金(万元)</w:t>
            </w: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年度资金总额      </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其中:财政拨款</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92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4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6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年度绩效目标</w:t>
            </w:r>
          </w:p>
        </w:tc>
      </w:tr>
      <w:tr>
        <w:tblPrEx>
          <w:tblCellMar>
            <w:top w:w="0" w:type="dxa"/>
            <w:left w:w="108" w:type="dxa"/>
            <w:bottom w:w="0" w:type="dxa"/>
            <w:right w:w="108" w:type="dxa"/>
          </w:tblCellMar>
        </w:tblPrEx>
        <w:trPr>
          <w:trHeight w:val="1020" w:hRule="atLeast"/>
        </w:trPr>
        <w:tc>
          <w:tcPr>
            <w:tcW w:w="86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良种茶苗繁育基地建设为基础，积极推广良种示范和有机茶标准化生产，为实现有机茶“品种多样化、质量标准化、生产区域化、供应基地化、茶树良种化”的目标，进一步扩大生产规模，优化结构，实现茶产业的快速发展。</w:t>
            </w:r>
          </w:p>
        </w:tc>
      </w:tr>
      <w:tr>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项目推进计划完成率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节能量验收合格率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项目延误率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试验前后节能费用控制比</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试验节能标准达标率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r>
      <w:tr>
        <w:tblPrEx>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项目可复制性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rPr>
          <w:trHeight w:val="600"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r>
      <w:tr>
        <w:tblPrEx>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5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r>
    </w:tbl>
    <w:p>
      <w:pPr>
        <w:rPr>
          <w:rFonts w:hint="eastAsia" w:ascii="仿宋_GB2312" w:eastAsia="仿宋_GB2312"/>
          <w:color w:val="000000"/>
          <w:sz w:val="32"/>
          <w:szCs w:val="30"/>
        </w:rPr>
      </w:pPr>
      <w:r>
        <w:rPr>
          <w:rFonts w:hint="eastAsia" w:ascii="仿宋_GB2312" w:eastAsia="仿宋_GB2312"/>
          <w:color w:val="000000"/>
          <w:sz w:val="32"/>
          <w:szCs w:val="30"/>
        </w:rPr>
        <w:t xml:space="preserve">    </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2021年部门预算表</w:t>
      </w:r>
    </w:p>
    <w:p>
      <w:pPr>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ind w:firstLine="640" w:firstLineChars="200"/>
        <w:rPr>
          <w:rFonts w:hint="eastAsia" w:ascii="仿宋_GB2312" w:eastAsia="仿宋_GB2312"/>
          <w:color w:val="000000"/>
          <w:sz w:val="32"/>
          <w:szCs w:val="30"/>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19745D"/>
    <w:rsid w:val="002865B4"/>
    <w:rsid w:val="003E2BD5"/>
    <w:rsid w:val="00675E17"/>
    <w:rsid w:val="00683AC4"/>
    <w:rsid w:val="007870A0"/>
    <w:rsid w:val="008110CC"/>
    <w:rsid w:val="008576F0"/>
    <w:rsid w:val="00B358C5"/>
    <w:rsid w:val="00C04C9A"/>
    <w:rsid w:val="00CB427A"/>
    <w:rsid w:val="00F500B9"/>
    <w:rsid w:val="016C67F3"/>
    <w:rsid w:val="01992CBB"/>
    <w:rsid w:val="01EA2720"/>
    <w:rsid w:val="02063450"/>
    <w:rsid w:val="02064BBC"/>
    <w:rsid w:val="022502CD"/>
    <w:rsid w:val="02317160"/>
    <w:rsid w:val="027743F7"/>
    <w:rsid w:val="02DC15A8"/>
    <w:rsid w:val="031B6E8A"/>
    <w:rsid w:val="032C03EB"/>
    <w:rsid w:val="037B7B67"/>
    <w:rsid w:val="038235A5"/>
    <w:rsid w:val="038A1C17"/>
    <w:rsid w:val="03C46409"/>
    <w:rsid w:val="03E01135"/>
    <w:rsid w:val="04256AF8"/>
    <w:rsid w:val="047605E7"/>
    <w:rsid w:val="04781255"/>
    <w:rsid w:val="048B0EC6"/>
    <w:rsid w:val="04EB4A3F"/>
    <w:rsid w:val="04FE102E"/>
    <w:rsid w:val="053A6F14"/>
    <w:rsid w:val="055D08CA"/>
    <w:rsid w:val="056F62AD"/>
    <w:rsid w:val="05BC0F9E"/>
    <w:rsid w:val="05EB1609"/>
    <w:rsid w:val="060C11F6"/>
    <w:rsid w:val="061D2BD0"/>
    <w:rsid w:val="06990E2A"/>
    <w:rsid w:val="072F3B1B"/>
    <w:rsid w:val="077046AF"/>
    <w:rsid w:val="078163B8"/>
    <w:rsid w:val="0796658A"/>
    <w:rsid w:val="080D074F"/>
    <w:rsid w:val="0833403F"/>
    <w:rsid w:val="08686850"/>
    <w:rsid w:val="087821C0"/>
    <w:rsid w:val="08EE0B31"/>
    <w:rsid w:val="09541ED2"/>
    <w:rsid w:val="09B1164D"/>
    <w:rsid w:val="0A026E0B"/>
    <w:rsid w:val="0A271BDF"/>
    <w:rsid w:val="0A326819"/>
    <w:rsid w:val="0A537EF6"/>
    <w:rsid w:val="0AD93D0E"/>
    <w:rsid w:val="0AF07A0C"/>
    <w:rsid w:val="0B8060BC"/>
    <w:rsid w:val="0B8D3EE8"/>
    <w:rsid w:val="0B8F4B71"/>
    <w:rsid w:val="0BCB55CB"/>
    <w:rsid w:val="0C3660E1"/>
    <w:rsid w:val="0CAC0240"/>
    <w:rsid w:val="0CBF216E"/>
    <w:rsid w:val="0CCA6F19"/>
    <w:rsid w:val="0D476B84"/>
    <w:rsid w:val="0D4C766D"/>
    <w:rsid w:val="0D575FA0"/>
    <w:rsid w:val="0D9E0ADE"/>
    <w:rsid w:val="0EA01ACD"/>
    <w:rsid w:val="0EA6690D"/>
    <w:rsid w:val="0EFC5757"/>
    <w:rsid w:val="0F38649C"/>
    <w:rsid w:val="0F7B3BDC"/>
    <w:rsid w:val="0F7E0D69"/>
    <w:rsid w:val="0F842447"/>
    <w:rsid w:val="0FCB58D0"/>
    <w:rsid w:val="10755C11"/>
    <w:rsid w:val="11044A50"/>
    <w:rsid w:val="112D3055"/>
    <w:rsid w:val="11427CB1"/>
    <w:rsid w:val="1160391C"/>
    <w:rsid w:val="118072E3"/>
    <w:rsid w:val="11F50DF7"/>
    <w:rsid w:val="13023F89"/>
    <w:rsid w:val="13504B1F"/>
    <w:rsid w:val="137661AC"/>
    <w:rsid w:val="139E3D52"/>
    <w:rsid w:val="13FE3D54"/>
    <w:rsid w:val="143B2A56"/>
    <w:rsid w:val="15B3281E"/>
    <w:rsid w:val="15DD675D"/>
    <w:rsid w:val="15E42F19"/>
    <w:rsid w:val="162B4B72"/>
    <w:rsid w:val="16774F88"/>
    <w:rsid w:val="169F4F37"/>
    <w:rsid w:val="17470FCF"/>
    <w:rsid w:val="17802EE9"/>
    <w:rsid w:val="17AF16CF"/>
    <w:rsid w:val="17BA0946"/>
    <w:rsid w:val="17C82895"/>
    <w:rsid w:val="18470A93"/>
    <w:rsid w:val="184C5203"/>
    <w:rsid w:val="188E3081"/>
    <w:rsid w:val="18AC060B"/>
    <w:rsid w:val="18C52802"/>
    <w:rsid w:val="18D609BC"/>
    <w:rsid w:val="19076E1D"/>
    <w:rsid w:val="194A70B3"/>
    <w:rsid w:val="19774884"/>
    <w:rsid w:val="199B1F30"/>
    <w:rsid w:val="1A1E1CF2"/>
    <w:rsid w:val="1A8453E8"/>
    <w:rsid w:val="1A8E7D6A"/>
    <w:rsid w:val="1AE76B82"/>
    <w:rsid w:val="1B33667F"/>
    <w:rsid w:val="1B541F49"/>
    <w:rsid w:val="1B630BBB"/>
    <w:rsid w:val="1B9A5EF7"/>
    <w:rsid w:val="1BB219B8"/>
    <w:rsid w:val="1BEB2991"/>
    <w:rsid w:val="1BF14F36"/>
    <w:rsid w:val="1BF8427D"/>
    <w:rsid w:val="1C243B2E"/>
    <w:rsid w:val="1C891554"/>
    <w:rsid w:val="1D087458"/>
    <w:rsid w:val="1D302813"/>
    <w:rsid w:val="1D823FBA"/>
    <w:rsid w:val="1DB363F7"/>
    <w:rsid w:val="1DE82DB3"/>
    <w:rsid w:val="1DFD0664"/>
    <w:rsid w:val="1E190FD9"/>
    <w:rsid w:val="1E223BF0"/>
    <w:rsid w:val="1E236CE8"/>
    <w:rsid w:val="1EBD751D"/>
    <w:rsid w:val="1EC2680B"/>
    <w:rsid w:val="1EEC17FD"/>
    <w:rsid w:val="1F117155"/>
    <w:rsid w:val="1F3173C4"/>
    <w:rsid w:val="1F331B35"/>
    <w:rsid w:val="1F520532"/>
    <w:rsid w:val="1F9F7B7D"/>
    <w:rsid w:val="1FC25564"/>
    <w:rsid w:val="1FEA1872"/>
    <w:rsid w:val="20336806"/>
    <w:rsid w:val="204B45CE"/>
    <w:rsid w:val="2142403F"/>
    <w:rsid w:val="21721F3C"/>
    <w:rsid w:val="218053C2"/>
    <w:rsid w:val="21B76395"/>
    <w:rsid w:val="21BA5AAD"/>
    <w:rsid w:val="21CE4105"/>
    <w:rsid w:val="221A6127"/>
    <w:rsid w:val="22510534"/>
    <w:rsid w:val="225609A2"/>
    <w:rsid w:val="22B82BFC"/>
    <w:rsid w:val="233F7F0E"/>
    <w:rsid w:val="24572DB3"/>
    <w:rsid w:val="245D6773"/>
    <w:rsid w:val="247052AA"/>
    <w:rsid w:val="24E00489"/>
    <w:rsid w:val="250715FD"/>
    <w:rsid w:val="252C34D5"/>
    <w:rsid w:val="252E57A3"/>
    <w:rsid w:val="25381CD0"/>
    <w:rsid w:val="253C20A9"/>
    <w:rsid w:val="25664F14"/>
    <w:rsid w:val="25705B71"/>
    <w:rsid w:val="258C6780"/>
    <w:rsid w:val="25F11C78"/>
    <w:rsid w:val="26005229"/>
    <w:rsid w:val="26064C01"/>
    <w:rsid w:val="26D4783E"/>
    <w:rsid w:val="26F858E9"/>
    <w:rsid w:val="274E6D2C"/>
    <w:rsid w:val="275018A2"/>
    <w:rsid w:val="275B65FB"/>
    <w:rsid w:val="27667D96"/>
    <w:rsid w:val="27C66EFE"/>
    <w:rsid w:val="27D57A32"/>
    <w:rsid w:val="28D6093E"/>
    <w:rsid w:val="293250A8"/>
    <w:rsid w:val="293513F5"/>
    <w:rsid w:val="293B21F8"/>
    <w:rsid w:val="29434014"/>
    <w:rsid w:val="296653B8"/>
    <w:rsid w:val="297E6BA8"/>
    <w:rsid w:val="29C408DC"/>
    <w:rsid w:val="29EF1D2A"/>
    <w:rsid w:val="2A0F74E6"/>
    <w:rsid w:val="2A2D4859"/>
    <w:rsid w:val="2A4D398B"/>
    <w:rsid w:val="2ABD070A"/>
    <w:rsid w:val="2ABF4EE0"/>
    <w:rsid w:val="2B2616BF"/>
    <w:rsid w:val="2BE17E82"/>
    <w:rsid w:val="2C3177F8"/>
    <w:rsid w:val="2C360946"/>
    <w:rsid w:val="2CDD42A9"/>
    <w:rsid w:val="2D1D17F2"/>
    <w:rsid w:val="2D7062CA"/>
    <w:rsid w:val="2D7114C3"/>
    <w:rsid w:val="2DBB1A4F"/>
    <w:rsid w:val="2DBB222D"/>
    <w:rsid w:val="2DD800F2"/>
    <w:rsid w:val="2DDB6811"/>
    <w:rsid w:val="2DE11DBE"/>
    <w:rsid w:val="2E1E280F"/>
    <w:rsid w:val="2E4412FF"/>
    <w:rsid w:val="2E526A94"/>
    <w:rsid w:val="2F432FE2"/>
    <w:rsid w:val="2F4D04AC"/>
    <w:rsid w:val="2F72386C"/>
    <w:rsid w:val="2F7E7583"/>
    <w:rsid w:val="2F9B483F"/>
    <w:rsid w:val="2FA1085D"/>
    <w:rsid w:val="2FB457AF"/>
    <w:rsid w:val="2FBB03F7"/>
    <w:rsid w:val="2FED3D3E"/>
    <w:rsid w:val="30434EC1"/>
    <w:rsid w:val="30B511A3"/>
    <w:rsid w:val="30C92EB4"/>
    <w:rsid w:val="317315E0"/>
    <w:rsid w:val="318B6EAB"/>
    <w:rsid w:val="31D40AAE"/>
    <w:rsid w:val="31E31726"/>
    <w:rsid w:val="320C2C53"/>
    <w:rsid w:val="32BB7626"/>
    <w:rsid w:val="33382A4F"/>
    <w:rsid w:val="334F7472"/>
    <w:rsid w:val="33560943"/>
    <w:rsid w:val="339E38BD"/>
    <w:rsid w:val="33D97D72"/>
    <w:rsid w:val="33ED1CDB"/>
    <w:rsid w:val="33EE23E2"/>
    <w:rsid w:val="340C42A2"/>
    <w:rsid w:val="341D1ADE"/>
    <w:rsid w:val="347248C9"/>
    <w:rsid w:val="34D15BB5"/>
    <w:rsid w:val="34E71B12"/>
    <w:rsid w:val="34EB365B"/>
    <w:rsid w:val="356B322F"/>
    <w:rsid w:val="35B13DDA"/>
    <w:rsid w:val="36B7026D"/>
    <w:rsid w:val="36C36297"/>
    <w:rsid w:val="36ED6299"/>
    <w:rsid w:val="36FD7F21"/>
    <w:rsid w:val="36FE5B64"/>
    <w:rsid w:val="3774349D"/>
    <w:rsid w:val="378D0D46"/>
    <w:rsid w:val="37AD60DB"/>
    <w:rsid w:val="37CB5FAD"/>
    <w:rsid w:val="37FF031C"/>
    <w:rsid w:val="381119B2"/>
    <w:rsid w:val="3836322E"/>
    <w:rsid w:val="388173C0"/>
    <w:rsid w:val="38D5753F"/>
    <w:rsid w:val="38E04FC4"/>
    <w:rsid w:val="39792E57"/>
    <w:rsid w:val="399542A1"/>
    <w:rsid w:val="39991D69"/>
    <w:rsid w:val="39BC17AD"/>
    <w:rsid w:val="39FC405B"/>
    <w:rsid w:val="3A1A6D89"/>
    <w:rsid w:val="3A881557"/>
    <w:rsid w:val="3ABD19CE"/>
    <w:rsid w:val="3B551DDD"/>
    <w:rsid w:val="3BD871B8"/>
    <w:rsid w:val="3BDD2645"/>
    <w:rsid w:val="3BDF4234"/>
    <w:rsid w:val="3C692BBB"/>
    <w:rsid w:val="3C815AB8"/>
    <w:rsid w:val="3C8662C0"/>
    <w:rsid w:val="3C91342C"/>
    <w:rsid w:val="3CF15A34"/>
    <w:rsid w:val="3CF55A87"/>
    <w:rsid w:val="3D477461"/>
    <w:rsid w:val="3D6B2AEE"/>
    <w:rsid w:val="3D927857"/>
    <w:rsid w:val="3D951125"/>
    <w:rsid w:val="3DA94220"/>
    <w:rsid w:val="3DB26803"/>
    <w:rsid w:val="3DF91EB5"/>
    <w:rsid w:val="3EE41772"/>
    <w:rsid w:val="3EEB0DE2"/>
    <w:rsid w:val="3FC64316"/>
    <w:rsid w:val="3FF67D58"/>
    <w:rsid w:val="40063FBF"/>
    <w:rsid w:val="404C2DFC"/>
    <w:rsid w:val="40A60D15"/>
    <w:rsid w:val="40B66911"/>
    <w:rsid w:val="41967FB4"/>
    <w:rsid w:val="41B93B2C"/>
    <w:rsid w:val="41BB1062"/>
    <w:rsid w:val="41CC4EE7"/>
    <w:rsid w:val="41F956CB"/>
    <w:rsid w:val="420333EA"/>
    <w:rsid w:val="42345910"/>
    <w:rsid w:val="42497C45"/>
    <w:rsid w:val="425C5E12"/>
    <w:rsid w:val="429A727D"/>
    <w:rsid w:val="429E4067"/>
    <w:rsid w:val="42A43B04"/>
    <w:rsid w:val="43113E87"/>
    <w:rsid w:val="4312783B"/>
    <w:rsid w:val="4322216B"/>
    <w:rsid w:val="438354F4"/>
    <w:rsid w:val="43FC4A38"/>
    <w:rsid w:val="44152A47"/>
    <w:rsid w:val="449067BA"/>
    <w:rsid w:val="45055CD3"/>
    <w:rsid w:val="452731E4"/>
    <w:rsid w:val="454515E4"/>
    <w:rsid w:val="45883462"/>
    <w:rsid w:val="45D11680"/>
    <w:rsid w:val="45E34423"/>
    <w:rsid w:val="45F474F6"/>
    <w:rsid w:val="461528F4"/>
    <w:rsid w:val="46494A88"/>
    <w:rsid w:val="46853F3D"/>
    <w:rsid w:val="469835E5"/>
    <w:rsid w:val="46BF3034"/>
    <w:rsid w:val="472C27F5"/>
    <w:rsid w:val="478074B0"/>
    <w:rsid w:val="47B569C6"/>
    <w:rsid w:val="47E76516"/>
    <w:rsid w:val="482F4CAD"/>
    <w:rsid w:val="48B4312F"/>
    <w:rsid w:val="4975432C"/>
    <w:rsid w:val="4995109F"/>
    <w:rsid w:val="49B160DD"/>
    <w:rsid w:val="49D458D1"/>
    <w:rsid w:val="4A5E15C0"/>
    <w:rsid w:val="4A961FC1"/>
    <w:rsid w:val="4AA902E2"/>
    <w:rsid w:val="4B1C3CE3"/>
    <w:rsid w:val="4B1F62F4"/>
    <w:rsid w:val="4B6E6FF1"/>
    <w:rsid w:val="4B7C48E0"/>
    <w:rsid w:val="4B886BEB"/>
    <w:rsid w:val="4BD21A29"/>
    <w:rsid w:val="4BD63489"/>
    <w:rsid w:val="4C025A05"/>
    <w:rsid w:val="4C0B38BC"/>
    <w:rsid w:val="4C0B7195"/>
    <w:rsid w:val="4C612323"/>
    <w:rsid w:val="4C7A43C7"/>
    <w:rsid w:val="4CF33B51"/>
    <w:rsid w:val="4D3B293C"/>
    <w:rsid w:val="4D59155F"/>
    <w:rsid w:val="4D6D660D"/>
    <w:rsid w:val="4DDE678A"/>
    <w:rsid w:val="4DE822C2"/>
    <w:rsid w:val="4DF255DB"/>
    <w:rsid w:val="4E0518C4"/>
    <w:rsid w:val="4E837283"/>
    <w:rsid w:val="4F03119D"/>
    <w:rsid w:val="4F873751"/>
    <w:rsid w:val="4FAE51CE"/>
    <w:rsid w:val="5003171A"/>
    <w:rsid w:val="503A0DE5"/>
    <w:rsid w:val="505240F4"/>
    <w:rsid w:val="505A22B9"/>
    <w:rsid w:val="50A9181D"/>
    <w:rsid w:val="51596DF1"/>
    <w:rsid w:val="51B40312"/>
    <w:rsid w:val="521B3153"/>
    <w:rsid w:val="52B039E7"/>
    <w:rsid w:val="52D257D0"/>
    <w:rsid w:val="52E82D33"/>
    <w:rsid w:val="537166C3"/>
    <w:rsid w:val="53AD567D"/>
    <w:rsid w:val="544F03A5"/>
    <w:rsid w:val="55B30650"/>
    <w:rsid w:val="55E2413E"/>
    <w:rsid w:val="561671EE"/>
    <w:rsid w:val="56525774"/>
    <w:rsid w:val="569C33B0"/>
    <w:rsid w:val="571458F0"/>
    <w:rsid w:val="57605D80"/>
    <w:rsid w:val="579A5094"/>
    <w:rsid w:val="57CC144D"/>
    <w:rsid w:val="580C6DA0"/>
    <w:rsid w:val="586C14E4"/>
    <w:rsid w:val="588B3CC5"/>
    <w:rsid w:val="59043A80"/>
    <w:rsid w:val="59136C4E"/>
    <w:rsid w:val="59162714"/>
    <w:rsid w:val="59B529DA"/>
    <w:rsid w:val="5A4D4A62"/>
    <w:rsid w:val="5A5530E0"/>
    <w:rsid w:val="5A6622F5"/>
    <w:rsid w:val="5AD9793C"/>
    <w:rsid w:val="5B1A4E69"/>
    <w:rsid w:val="5B400111"/>
    <w:rsid w:val="5B433FA0"/>
    <w:rsid w:val="5B980D8B"/>
    <w:rsid w:val="5C031165"/>
    <w:rsid w:val="5C29740F"/>
    <w:rsid w:val="5C2B4808"/>
    <w:rsid w:val="5C3814AC"/>
    <w:rsid w:val="5C7E60A8"/>
    <w:rsid w:val="5C866D2F"/>
    <w:rsid w:val="5C9E0762"/>
    <w:rsid w:val="5CAA308D"/>
    <w:rsid w:val="5CB97036"/>
    <w:rsid w:val="5CD8710E"/>
    <w:rsid w:val="5DA4126C"/>
    <w:rsid w:val="5DA825D1"/>
    <w:rsid w:val="5DB62D09"/>
    <w:rsid w:val="5DEC21DC"/>
    <w:rsid w:val="5E5D3BFC"/>
    <w:rsid w:val="5E7F06B7"/>
    <w:rsid w:val="5EA05364"/>
    <w:rsid w:val="5EA72F67"/>
    <w:rsid w:val="5F1C0912"/>
    <w:rsid w:val="5FED1CFD"/>
    <w:rsid w:val="60750E2F"/>
    <w:rsid w:val="60EC45F9"/>
    <w:rsid w:val="60FC23CB"/>
    <w:rsid w:val="60FE0660"/>
    <w:rsid w:val="610B4BD2"/>
    <w:rsid w:val="611D0B26"/>
    <w:rsid w:val="613B0830"/>
    <w:rsid w:val="615256EB"/>
    <w:rsid w:val="615B6582"/>
    <w:rsid w:val="62180EE4"/>
    <w:rsid w:val="621E7046"/>
    <w:rsid w:val="629472AD"/>
    <w:rsid w:val="62AC6032"/>
    <w:rsid w:val="62B20F12"/>
    <w:rsid w:val="62CF0021"/>
    <w:rsid w:val="62E4604F"/>
    <w:rsid w:val="63EF2AE8"/>
    <w:rsid w:val="63F4567C"/>
    <w:rsid w:val="64185802"/>
    <w:rsid w:val="641E7445"/>
    <w:rsid w:val="64794E7A"/>
    <w:rsid w:val="649A22F9"/>
    <w:rsid w:val="64FF0CA8"/>
    <w:rsid w:val="65237C0A"/>
    <w:rsid w:val="653B30AC"/>
    <w:rsid w:val="65786D6D"/>
    <w:rsid w:val="65F97F37"/>
    <w:rsid w:val="6641641D"/>
    <w:rsid w:val="66423293"/>
    <w:rsid w:val="6666352B"/>
    <w:rsid w:val="66821C4B"/>
    <w:rsid w:val="669A4075"/>
    <w:rsid w:val="67223D87"/>
    <w:rsid w:val="67791099"/>
    <w:rsid w:val="677F2875"/>
    <w:rsid w:val="678D2E45"/>
    <w:rsid w:val="67D132D3"/>
    <w:rsid w:val="67DB5F42"/>
    <w:rsid w:val="6819151F"/>
    <w:rsid w:val="68390D0C"/>
    <w:rsid w:val="68C67DDB"/>
    <w:rsid w:val="68DB0D8F"/>
    <w:rsid w:val="68F34791"/>
    <w:rsid w:val="68FC4906"/>
    <w:rsid w:val="69311072"/>
    <w:rsid w:val="694245AC"/>
    <w:rsid w:val="69C21A2B"/>
    <w:rsid w:val="6A5877AA"/>
    <w:rsid w:val="6A657074"/>
    <w:rsid w:val="6B114B35"/>
    <w:rsid w:val="6B356F17"/>
    <w:rsid w:val="6B4F3212"/>
    <w:rsid w:val="6B925470"/>
    <w:rsid w:val="6BB52C69"/>
    <w:rsid w:val="6C441AD9"/>
    <w:rsid w:val="6CC42F36"/>
    <w:rsid w:val="6CFF191A"/>
    <w:rsid w:val="6D186548"/>
    <w:rsid w:val="6D21437F"/>
    <w:rsid w:val="6D283978"/>
    <w:rsid w:val="6D3D3176"/>
    <w:rsid w:val="6DD77909"/>
    <w:rsid w:val="6E2B7292"/>
    <w:rsid w:val="6E2D58AC"/>
    <w:rsid w:val="6E8C1CFD"/>
    <w:rsid w:val="6EA661A7"/>
    <w:rsid w:val="6EEC4461"/>
    <w:rsid w:val="6F140541"/>
    <w:rsid w:val="6F71058E"/>
    <w:rsid w:val="6FAC2B1A"/>
    <w:rsid w:val="6FCB750B"/>
    <w:rsid w:val="6FE75262"/>
    <w:rsid w:val="6FE917B8"/>
    <w:rsid w:val="70A027CE"/>
    <w:rsid w:val="71161FA0"/>
    <w:rsid w:val="713607DA"/>
    <w:rsid w:val="71452C49"/>
    <w:rsid w:val="716D31A1"/>
    <w:rsid w:val="719F2C06"/>
    <w:rsid w:val="71CF63F7"/>
    <w:rsid w:val="72204854"/>
    <w:rsid w:val="726560BA"/>
    <w:rsid w:val="72BB74E2"/>
    <w:rsid w:val="72D71BC4"/>
    <w:rsid w:val="730316C7"/>
    <w:rsid w:val="73224148"/>
    <w:rsid w:val="73457E98"/>
    <w:rsid w:val="735315D7"/>
    <w:rsid w:val="73761EC6"/>
    <w:rsid w:val="737F129C"/>
    <w:rsid w:val="738F7F0D"/>
    <w:rsid w:val="73990B59"/>
    <w:rsid w:val="73DB2B3E"/>
    <w:rsid w:val="741A4654"/>
    <w:rsid w:val="741A525E"/>
    <w:rsid w:val="743B18EC"/>
    <w:rsid w:val="747A3707"/>
    <w:rsid w:val="74F93EDE"/>
    <w:rsid w:val="75147426"/>
    <w:rsid w:val="75186015"/>
    <w:rsid w:val="751A04A8"/>
    <w:rsid w:val="75FC24B1"/>
    <w:rsid w:val="762714A4"/>
    <w:rsid w:val="76651AD4"/>
    <w:rsid w:val="767237B1"/>
    <w:rsid w:val="76B85F84"/>
    <w:rsid w:val="76F06EE8"/>
    <w:rsid w:val="770A574A"/>
    <w:rsid w:val="771C292C"/>
    <w:rsid w:val="772860B1"/>
    <w:rsid w:val="77F3484B"/>
    <w:rsid w:val="78395666"/>
    <w:rsid w:val="78585AD7"/>
    <w:rsid w:val="785A672B"/>
    <w:rsid w:val="78B154DA"/>
    <w:rsid w:val="78CC2363"/>
    <w:rsid w:val="791801C9"/>
    <w:rsid w:val="793237DF"/>
    <w:rsid w:val="79E27009"/>
    <w:rsid w:val="79E83991"/>
    <w:rsid w:val="79EC2FF9"/>
    <w:rsid w:val="7A2453E5"/>
    <w:rsid w:val="7ADF262C"/>
    <w:rsid w:val="7AE84AD9"/>
    <w:rsid w:val="7B012B7C"/>
    <w:rsid w:val="7B3D7D48"/>
    <w:rsid w:val="7B4102B0"/>
    <w:rsid w:val="7B766D0D"/>
    <w:rsid w:val="7BE26434"/>
    <w:rsid w:val="7BF07E58"/>
    <w:rsid w:val="7C2E0F18"/>
    <w:rsid w:val="7C3C243D"/>
    <w:rsid w:val="7C4C1566"/>
    <w:rsid w:val="7CC163C4"/>
    <w:rsid w:val="7CD9652D"/>
    <w:rsid w:val="7D877F73"/>
    <w:rsid w:val="7DA41DF2"/>
    <w:rsid w:val="7E264035"/>
    <w:rsid w:val="7E437E37"/>
    <w:rsid w:val="7EB87F25"/>
    <w:rsid w:val="7EE05035"/>
    <w:rsid w:val="7F0246EA"/>
    <w:rsid w:val="7F0C59E2"/>
    <w:rsid w:val="7F344B00"/>
    <w:rsid w:val="7F823159"/>
    <w:rsid w:val="7FA42D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5</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2021-07-19T02:44:34Z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